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right"/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Галкін О.А.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right"/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м. Київ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right"/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galkin.o.a@gmail.com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center"/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>КЛАСИФІКАТОР ЕКСТРАПОЛЯЦІЙНОЇ ГЛИБИНИ НА ОСНОВІ ЕЛІПТИЧ</w:t>
      </w:r>
      <w:bookmarkStart w:id="0" w:name="_GoBack"/>
      <w:bookmarkEnd w:id="0"/>
      <w:r>
        <w:rPr>
          <w:rFonts w:ascii="Times New Roman" w:cs="Times New Roman" w:hAnsi="Times New Roman"/>
          <w:b/>
          <w:sz w:val="28"/>
          <w:szCs w:val="28"/>
          <w:lang w:val="uk-UA"/>
        </w:rPr>
        <w:t>НОЇ СИМЕТРІЇ РОЗПОДІЛУ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Запропоновано непараметричний класифікатор екстраполяційної глибини, шо головним чином базується на еліптичній симетрії розподілу. Розглянуто випадок, коли розподіли множин даних є еліптичними. Якщо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є глибиною об’єкту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відносно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, тоді байєсівський класифікатор задається, як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center"/>
      </w:pPr>
      <w:r>
        <w:rPr>
          <w:rFonts w:ascii="Times New Roman" w:cs="Times New Roman" w:hAnsi="Times New Roman"/>
          <w:b/>
          <w:position w:val="-12"/>
          <w:sz w:val="28"/>
          <w:szCs w:val="28"/>
          <w:lang w:val="uk-UA"/>
        </w:rPr>
        <w:t xml:space="preserve">                               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,                                      (1)</w:t>
      </w:r>
    </w:p>
    <w:p>
      <w:pPr>
        <w:pStyle w:val="style0"/>
        <w:tabs>
          <w:tab w:leader="none" w:pos="1155" w:val="left"/>
        </w:tabs>
        <w:spacing w:after="0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де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є відповідною функцією перетворення. Функція перетворення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є монотонно-спадною та однаковою для всіх груп множин даних, якщо функції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є унімодальними, а розподіли множин даних відрізняються лише параметрами розташування, відповідно. Крім того, байєсівський класифікатор є еквівалентним класифікатору максимальної глибини, якщо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рівні. Проте, при невиконанні хоча б одного з вищенаведених припущень, виникає потреба в отриманні інформації щодо  функціональних форм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.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>Оцінку параметра згладжування в ядерних оцінках щільності було проведено за допомогою методу перехресної перевірки для модифікованої глибинної класифікації. Однак, при розв</w:t>
      </w:r>
      <w:r>
        <w:rPr>
          <w:rFonts w:ascii="Times New Roman" w:cs="Times New Roman" w:hAnsi="Times New Roman"/>
          <w:sz w:val="28"/>
          <w:szCs w:val="28"/>
          <w:lang w:val="ru-RU"/>
        </w:rPr>
        <w:t>’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язанні практичних задач класифікації досить часто має місце невизначеність моделі при використанні однієї пари смуг пропускання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. Поряд з проблемою вибіркової залежності, суттєвим залишається вибір параметра згладжування, що залежить від характерного об’єкта класифікації. У даному випадку, визначений рівень згладжування може демонструвати різну поведінку у різних областях простору вимірювань. Виходячи з цього, актуальною задачею є дослідження результатів класифікації для різних масштабів згладжування замість використання фіксованої пари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у визначеному діапазоні. Об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’єднання даних, що </w:t>
      </w:r>
      <w:r>
        <w:rPr>
          <w:rFonts w:ascii="Times New Roman" w:cs="Times New Roman" w:hAnsi="Times New Roman"/>
          <w:sz w:val="28"/>
          <w:szCs w:val="28"/>
          <w:lang w:val="uk-UA"/>
        </w:rPr>
        <w:t>індексовані по смугах пропускання, можна проводити за допомогою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прийняття зваженого середнього значення оцінених апостеріорних ймовірностей </w:t>
      </w:r>
      <w:r>
        <w:rPr>
          <w:rFonts w:ascii="Times New Roman" w:cs="Times New Roman" w:hAnsi="Times New Roman"/>
          <w:sz w:val="28"/>
          <w:szCs w:val="28"/>
          <w:lang w:val="ru-RU"/>
        </w:rPr>
        <w:t>[1]</w:t>
      </w:r>
      <w:r>
        <w:rPr>
          <w:rFonts w:ascii="Times New Roman" w:cs="Times New Roman" w:hAnsi="Times New Roman"/>
          <w:sz w:val="28"/>
          <w:szCs w:val="28"/>
          <w:lang w:val="uk-UA"/>
        </w:rPr>
        <w:t>.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Зазначимо, що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дає оцінку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, оскільки елемент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класифікується до першого класу, якщо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center"/>
      </w:pPr>
      <w:r>
        <w:rPr>
          <w:rFonts w:ascii="Times New Roman" w:cs="Times New Roman" w:hAnsi="Times New Roman"/>
          <w:b/>
          <w:position w:val="-12"/>
          <w:sz w:val="28"/>
          <w:szCs w:val="28"/>
          <w:lang w:val="uk-UA"/>
        </w:rPr>
        <w:t xml:space="preserve">                        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,                         (2)</w:t>
      </w:r>
    </w:p>
    <w:p>
      <w:pPr>
        <w:pStyle w:val="style0"/>
        <w:tabs>
          <w:tab w:leader="none" w:pos="1155" w:val="left"/>
        </w:tabs>
        <w:spacing w:after="0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де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вибирається шляхом мінімізації помилки перехресної перевірки для фіксованих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. Отже, ми маємо, що</w:t>
      </w:r>
    </w:p>
    <w:p>
      <w:pPr>
        <w:pStyle w:val="style0"/>
        <w:tabs>
          <w:tab w:leader="none" w:pos="1155" w:val="left"/>
        </w:tabs>
        <w:spacing w:after="0" w:before="0" w:line="360" w:lineRule="auto"/>
        <w:jc w:val="center"/>
      </w:pPr>
      <w:r>
        <w:rPr>
          <w:rFonts w:ascii="Times New Roman" w:cs="Times New Roman" w:hAnsi="Times New Roman"/>
          <w:b/>
          <w:position w:val="-12"/>
          <w:sz w:val="28"/>
          <w:szCs w:val="28"/>
          <w:lang w:val="uk-UA"/>
        </w:rPr>
        <w:t xml:space="preserve">                                                      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,                       (3)</w:t>
      </w:r>
    </w:p>
    <w:p>
      <w:pPr>
        <w:pStyle w:val="style0"/>
        <w:tabs>
          <w:tab w:leader="none" w:pos="1155" w:val="left"/>
        </w:tabs>
        <w:spacing w:after="0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що є оціненою апостеріорною ймовірністю класу. 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  <w:lang w:val="ru-RU"/>
        </w:rPr>
        <w:t>Оск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ільки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, результуючий класифікатор отримується шляхом об'єднання апостеріорних оцінок, отриманих при різних значеннях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>, а саме</w:t>
      </w:r>
      <w:r>
        <w:rPr>
          <w:rFonts w:ascii="Times New Roman" w:cs="Times New Roman" w:hAnsi="Times New Roman"/>
          <w:sz w:val="28"/>
          <w:szCs w:val="28"/>
          <w:lang w:val="ru-RU"/>
        </w:rPr>
        <w:t>: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center"/>
      </w:pPr>
      <w:r>
        <w:rPr>
          <w:rFonts w:ascii="Times New Roman" w:cs="Times New Roman" w:hAnsi="Times New Roman"/>
          <w:b/>
          <w:position w:val="-12"/>
          <w:sz w:val="28"/>
          <w:szCs w:val="28"/>
          <w:lang w:val="ru-RU"/>
        </w:rPr>
        <w:t xml:space="preserve">                                                        </w:t>
      </w:r>
      <w:r>
        <w:rPr/>
      </w:r>
      <w:r>
        <w:rPr>
          <w:rFonts w:ascii="Times New Roman" w:cs="Times New Roman" w:hAnsi="Times New Roman"/>
          <w:sz w:val="28"/>
          <w:szCs w:val="28"/>
          <w:lang w:val="ru-RU"/>
        </w:rPr>
        <w:t>.                                    (4)</w:t>
      </w:r>
    </w:p>
    <w:p>
      <w:pPr>
        <w:pStyle w:val="style0"/>
        <w:tabs>
          <w:tab w:leader="none" w:pos="1155" w:val="left"/>
        </w:tabs>
        <w:spacing w:after="0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Зазначимо, що </w:t>
      </w:r>
      <w:r>
        <w:rPr/>
      </w:r>
      <w:r>
        <w:rPr>
          <w:rFonts w:ascii="Times New Roman" w:cs="Times New Roman" w:hAnsi="Times New Roman"/>
          <w:b/>
          <w:position w:val="-12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є вагою, що присвоюється класифікатору, для якого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та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є смугами пропускання двох класів.</w:t>
      </w:r>
    </w:p>
    <w:p>
      <w:pPr>
        <w:pStyle w:val="style0"/>
        <w:tabs>
          <w:tab w:leader="none" w:pos="1155" w:val="left"/>
        </w:tabs>
        <w:spacing w:after="0" w:before="0" w:line="360" w:lineRule="auto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Варто відмітити, що об'єднання апостеріорних оцінок залежить від вагової функції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та діапазону смуг пропускання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. Однак, незалежно від вибору вагової функції частота помилок </w:t>
      </w:r>
      <w:r>
        <w:rP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асимптотично сходиться до байєсівського ризику.</w:t>
      </w:r>
    </w:p>
    <w:p>
      <w:pPr>
        <w:pStyle w:val="style37"/>
        <w:spacing w:line="360" w:lineRule="auto"/>
      </w:pPr>
      <w:r>
        <w:rPr>
          <w:rFonts w:ascii="Times New Roman" w:cs="Times New Roman" w:hAnsi="Times New Roman"/>
          <w:sz w:val="28"/>
          <w:szCs w:val="28"/>
          <w:lang w:val="uk-UA"/>
        </w:rPr>
        <w:t>Перелік посилань</w:t>
      </w:r>
    </w:p>
    <w:p>
      <w:pPr>
        <w:pStyle w:val="style0"/>
        <w:numPr>
          <w:ilvl w:val="0"/>
          <w:numId w:val="1"/>
        </w:numPr>
        <w:tabs>
          <w:tab w:leader="none" w:pos="644" w:val="left"/>
        </w:tabs>
        <w:suppressAutoHyphens w:val="true"/>
        <w:spacing w:after="0" w:before="0" w:line="360" w:lineRule="auto"/>
        <w:jc w:val="both"/>
      </w:pPr>
      <w:r>
        <w:rPr>
          <w:rFonts w:ascii="Times New Roman" w:cs="Times New Roman" w:eastAsia="TimesNewRomanPSMT" w:hAnsi="Times New Roman"/>
          <w:sz w:val="28"/>
          <w:szCs w:val="28"/>
        </w:rPr>
        <w:t>Holmes C.C. A probabilistic nearest neighbor method for statistical pattern recognition / C.C. Holmes, N.M. Adams // Journal of the Royal Statistical Society</w:t>
      </w:r>
      <w:r>
        <w:rPr>
          <w:rFonts w:ascii="Times New Roman" w:cs="Times New Roman" w:hAnsi="Times New Roman"/>
          <w:iCs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>– 2002</w:t>
      </w:r>
      <w:r>
        <w:rPr>
          <w:rFonts w:ascii="Times New Roman" w:cs="Times New Roman" w:hAnsi="Times New Roman"/>
          <w:iCs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>– 64. – P. 295-306.</w:t>
      </w:r>
    </w:p>
    <w:sectPr>
      <w:footerReference r:id="rId2" w:type="default"/>
      <w:type w:val="nextPage"/>
      <w:pgSz w:h="15840" w:w="12240"/>
      <w:pgMar w:bottom="1134" w:footer="709" w:gutter="0" w:header="0" w:left="1134" w:right="1134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33"/>
      <w:jc w:val="center"/>
    </w:pPr>
    <w:r>
      <w:rPr/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</w:p>
  <w:p>
    <w:pPr>
      <w:pStyle w:val="style33"/>
    </w:pPr>
    <w:r>
      <w:rPr/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20" w:val="left"/>
      </w:tabs>
      <w:suppressAutoHyphens w:val="true"/>
      <w:spacing w:after="200" w:before="0" w:line="276" w:lineRule="auto"/>
    </w:pPr>
    <w:rPr>
      <w:rFonts w:ascii="Calibri" w:cs="" w:eastAsia="WenQuanYi Zen Hei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Balloon Text Char"/>
    <w:basedOn w:val="style15"/>
    <w:next w:val="style16"/>
    <w:rPr>
      <w:rFonts w:ascii="Tahoma" w:cs="Tahoma" w:hAnsi="Tahoma"/>
      <w:sz w:val="16"/>
      <w:szCs w:val="16"/>
    </w:rPr>
  </w:style>
  <w:style w:styleId="style17" w:type="character">
    <w:name w:val="Header Char"/>
    <w:basedOn w:val="style15"/>
    <w:next w:val="style17"/>
    <w:rPr/>
  </w:style>
  <w:style w:styleId="style18" w:type="character">
    <w:name w:val="Footer Char"/>
    <w:basedOn w:val="style15"/>
    <w:next w:val="style18"/>
    <w:rPr/>
  </w:style>
  <w:style w:styleId="style19" w:type="character">
    <w:name w:val="Интернет-ссылка"/>
    <w:basedOn w:val="style15"/>
    <w:next w:val="style19"/>
    <w:rPr>
      <w:color w:val="0000FF"/>
      <w:u w:val="single"/>
      <w:lang w:bidi="ru-RU" w:eastAsia="ru-RU" w:val="ru-RU"/>
    </w:rPr>
  </w:style>
  <w:style w:styleId="style20" w:type="character">
    <w:name w:val="Body Text Indent Char"/>
    <w:basedOn w:val="style15"/>
    <w:next w:val="style20"/>
    <w:rPr>
      <w:rFonts w:ascii="Times New Roman" w:cs="Times New Roman" w:eastAsia="Times New Roman" w:hAnsi="Times New Roman"/>
      <w:sz w:val="24"/>
      <w:szCs w:val="24"/>
      <w:lang w:eastAsia="ar-SA" w:val="ru-RU"/>
    </w:rPr>
  </w:style>
  <w:style w:styleId="style21" w:type="character">
    <w:name w:val="apple-converted-space"/>
    <w:basedOn w:val="style15"/>
    <w:next w:val="style21"/>
    <w:rPr/>
  </w:style>
  <w:style w:styleId="style22" w:type="character">
    <w:name w:val="подраздел Знак"/>
    <w:next w:val="style22"/>
    <w:rPr>
      <w:rFonts w:ascii="Arial" w:cs="Arial" w:hAnsi="Arial"/>
      <w:b/>
      <w:szCs w:val="24"/>
      <w:lang w:eastAsia="uk-UA" w:val="ru-RU"/>
    </w:rPr>
  </w:style>
  <w:style w:styleId="style23" w:type="character">
    <w:name w:val="ListLabel 1"/>
    <w:next w:val="style23"/>
    <w:rPr>
      <w:rFonts w:cs="Times New Roman"/>
    </w:rPr>
  </w:style>
  <w:style w:styleId="style24" w:type="character">
    <w:name w:val="ListLabel 2"/>
    <w:next w:val="style24"/>
    <w:rPr>
      <w:rFonts w:cs="Courier New"/>
    </w:rPr>
  </w:style>
  <w:style w:styleId="style25" w:type="paragraph">
    <w:name w:val="Заголовок"/>
    <w:basedOn w:val="style0"/>
    <w:next w:val="style26"/>
    <w:pPr>
      <w:keepNext/>
      <w:spacing w:after="120" w:before="240"/>
    </w:pPr>
    <w:rPr>
      <w:rFonts w:ascii="Liberation Sans" w:cs="FreeSans" w:eastAsia="WenQuanYi Zen Hei" w:hAnsi="Liberation Sans"/>
      <w:sz w:val="28"/>
      <w:szCs w:val="28"/>
    </w:rPr>
  </w:style>
  <w:style w:styleId="style26" w:type="paragraph">
    <w:name w:val="Основной текст"/>
    <w:basedOn w:val="style0"/>
    <w:next w:val="style26"/>
    <w:pPr>
      <w:spacing w:after="120" w:before="0"/>
    </w:pPr>
    <w:rPr/>
  </w:style>
  <w:style w:styleId="style27" w:type="paragraph">
    <w:name w:val="Список"/>
    <w:basedOn w:val="style26"/>
    <w:next w:val="style27"/>
    <w:pPr/>
    <w:rPr>
      <w:rFonts w:cs="FreeSans"/>
    </w:rPr>
  </w:style>
  <w:style w:styleId="style28" w:type="paragraph">
    <w:name w:val="Название"/>
    <w:basedOn w:val="style0"/>
    <w:next w:val="style28"/>
    <w:pPr>
      <w:suppressLineNumbers/>
      <w:spacing w:after="120" w:before="120"/>
    </w:pPr>
    <w:rPr>
      <w:rFonts w:cs="FreeSans"/>
      <w:i/>
      <w:iCs/>
      <w:sz w:val="24"/>
      <w:szCs w:val="24"/>
    </w:rPr>
  </w:style>
  <w:style w:styleId="style29" w:type="paragraph">
    <w:name w:val="Указатель"/>
    <w:basedOn w:val="style0"/>
    <w:next w:val="style29"/>
    <w:pPr>
      <w:suppressLineNumbers/>
    </w:pPr>
    <w:rPr>
      <w:rFonts w:cs="FreeSans"/>
    </w:rPr>
  </w:style>
  <w:style w:styleId="style30" w:type="paragraph">
    <w:name w:val="List Paragraph"/>
    <w:basedOn w:val="style0"/>
    <w:next w:val="style30"/>
    <w:pPr>
      <w:ind w:hanging="0" w:left="720" w:right="0"/>
    </w:pPr>
    <w:rPr/>
  </w:style>
  <w:style w:styleId="style31" w:type="paragraph">
    <w:name w:val="Balloon Text"/>
    <w:basedOn w:val="style0"/>
    <w:next w:val="style31"/>
    <w:pPr>
      <w:spacing w:after="0" w:before="0" w:line="100" w:lineRule="atLeast"/>
    </w:pPr>
    <w:rPr>
      <w:rFonts w:ascii="Tahoma" w:cs="Tahoma" w:hAnsi="Tahoma"/>
      <w:sz w:val="16"/>
      <w:szCs w:val="16"/>
    </w:rPr>
  </w:style>
  <w:style w:styleId="style32" w:type="paragraph">
    <w:name w:val="Верхний колонтитул"/>
    <w:basedOn w:val="style0"/>
    <w:next w:val="style32"/>
    <w:pPr>
      <w:suppressLineNumbers/>
      <w:tabs>
        <w:tab w:leader="none" w:pos="4844" w:val="center"/>
        <w:tab w:leader="none" w:pos="9689" w:val="right"/>
      </w:tabs>
      <w:spacing w:after="0" w:before="0" w:line="100" w:lineRule="atLeast"/>
    </w:pPr>
    <w:rPr/>
  </w:style>
  <w:style w:styleId="style33" w:type="paragraph">
    <w:name w:val="Нижний колонтитул"/>
    <w:basedOn w:val="style0"/>
    <w:next w:val="style33"/>
    <w:pPr>
      <w:suppressLineNumbers/>
      <w:tabs>
        <w:tab w:leader="none" w:pos="4844" w:val="center"/>
        <w:tab w:leader="none" w:pos="9689" w:val="right"/>
      </w:tabs>
      <w:spacing w:after="0" w:before="0" w:line="100" w:lineRule="atLeast"/>
    </w:pPr>
    <w:rPr/>
  </w:style>
  <w:style w:styleId="style34" w:type="paragraph">
    <w:name w:val="Основной текст с отступом"/>
    <w:basedOn w:val="style0"/>
    <w:next w:val="style34"/>
    <w:pPr>
      <w:suppressAutoHyphens w:val="true"/>
      <w:spacing w:after="120" w:before="0" w:line="100" w:lineRule="atLeast"/>
      <w:ind w:hanging="0" w:left="283" w:right="0"/>
    </w:pPr>
    <w:rPr>
      <w:rFonts w:ascii="Times New Roman" w:cs="Times New Roman" w:eastAsia="Times New Roman" w:hAnsi="Times New Roman"/>
      <w:sz w:val="24"/>
      <w:szCs w:val="24"/>
      <w:lang w:eastAsia="ar-SA" w:val="ru-RU"/>
    </w:rPr>
  </w:style>
  <w:style w:styleId="style35" w:type="paragraph">
    <w:name w:val="Основной текст с отступом 31"/>
    <w:basedOn w:val="style0"/>
    <w:next w:val="style35"/>
    <w:pPr>
      <w:suppressAutoHyphens w:val="true"/>
      <w:spacing w:after="0" w:before="0" w:line="100" w:lineRule="atLeast"/>
      <w:ind w:firstLine="567" w:left="0" w:right="0"/>
      <w:jc w:val="both"/>
    </w:pPr>
    <w:rPr>
      <w:rFonts w:ascii="Times New Roman" w:cs="Times New Roman" w:eastAsia="Times New Roman" w:hAnsi="Times New Roman"/>
      <w:i/>
      <w:sz w:val="24"/>
      <w:szCs w:val="20"/>
      <w:lang w:eastAsia="ar-SA" w:val="uk-UA"/>
    </w:rPr>
  </w:style>
  <w:style w:styleId="style36" w:type="paragraph">
    <w:name w:val="Normal (Web)"/>
    <w:basedOn w:val="style0"/>
    <w:next w:val="style36"/>
    <w:pPr>
      <w:spacing w:after="100" w:before="100" w:line="100" w:lineRule="atLeast"/>
    </w:pPr>
    <w:rPr>
      <w:rFonts w:ascii="Times New Roman" w:cs="Times New Roman" w:eastAsia="Times New Roman" w:hAnsi="Times New Roman"/>
      <w:sz w:val="24"/>
      <w:szCs w:val="24"/>
    </w:rPr>
  </w:style>
  <w:style w:styleId="style37" w:type="paragraph">
    <w:name w:val="подраздел"/>
    <w:basedOn w:val="style0"/>
    <w:next w:val="style37"/>
    <w:pPr>
      <w:spacing w:after="0" w:before="0" w:line="100" w:lineRule="atLeast"/>
      <w:jc w:val="center"/>
    </w:pPr>
    <w:rPr>
      <w:rFonts w:ascii="Arial" w:cs="Arial" w:hAnsi="Arial"/>
      <w:b/>
      <w:szCs w:val="24"/>
      <w:lang w:eastAsia="uk-UA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2015-09-21T17:31:00.00Z</dcterms:created>
  <dc:creator>Александр Галкин</dc:creator>
  <cp:lastModifiedBy>Александр Галкин</cp:lastModifiedBy>
  <dcterms:modified xsi:type="dcterms:W3CDTF">2015-10-07T09:26:00.00Z</dcterms:modified>
  <cp:revision>48</cp:revision>
</cp:coreProperties>
</file>